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Приложение №</w:t>
      </w:r>
      <w:r>
        <w:rPr>
          <w:rFonts w:cs="Times New Roman"/>
          <w:sz w:val="18"/>
          <w:szCs w:val="18"/>
        </w:rPr>
        <w:t xml:space="preserve">7 </w:t>
      </w:r>
      <w:r>
        <w:rPr>
          <w:rFonts w:cs="Times New Roman"/>
          <w:sz w:val="18"/>
          <w:szCs w:val="18"/>
        </w:rPr>
        <w:t xml:space="preserve">к договору подряда №______/ПТС-26 </w:t>
      </w:r>
      <w:r>
        <w:rPr>
          <w:rFonts w:cs="Times New Roman"/>
          <w:sz w:val="18"/>
          <w:szCs w:val="18"/>
        </w:rPr>
        <w:t xml:space="preserve"> от «__» _______ 2026</w:t>
      </w:r>
      <w:r>
        <w:rPr>
          <w:rFonts w:cs="Times New Roman"/>
          <w:sz w:val="18"/>
          <w:szCs w:val="18"/>
        </w:rPr>
      </w:r>
      <w:r>
        <w:rPr>
          <w:rFonts w:cs="Times New Roman"/>
          <w:sz w:val="18"/>
          <w:szCs w:val="18"/>
        </w:rPr>
      </w:r>
    </w:p>
    <w:p>
      <w:pPr>
        <w:jc w:val="center"/>
        <w:spacing w:line="240" w:lineRule="auto"/>
        <w:rPr>
          <w:b/>
          <w:bCs/>
          <w:spacing w:val="40"/>
          <w:sz w:val="28"/>
          <w:szCs w:val="28"/>
        </w:rPr>
      </w:pPr>
      <w:r>
        <w:rPr>
          <w:b/>
          <w:spacing w:val="40"/>
          <w:sz w:val="28"/>
          <w:szCs w:val="28"/>
          <w:highlight w:val="none"/>
        </w:rPr>
      </w:r>
      <w:r>
        <w:rPr>
          <w:b/>
          <w:bCs/>
          <w:spacing w:val="40"/>
          <w:sz w:val="28"/>
          <w:szCs w:val="28"/>
        </w:rPr>
      </w:r>
      <w:r>
        <w:rPr>
          <w:b/>
          <w:bCs/>
          <w:spacing w:val="40"/>
          <w:sz w:val="28"/>
          <w:szCs w:val="28"/>
        </w:rPr>
      </w:r>
    </w:p>
    <w:p>
      <w:pPr>
        <w:jc w:val="center"/>
        <w:spacing w:line="240" w:lineRule="auto"/>
        <w:rPr>
          <w:b/>
          <w:bCs/>
          <w:spacing w:val="40"/>
          <w:sz w:val="28"/>
          <w:szCs w:val="28"/>
          <w:highlight w:val="none"/>
        </w:rPr>
      </w:pPr>
      <w:r>
        <w:rPr>
          <w:b/>
          <w:spacing w:val="40"/>
          <w:sz w:val="28"/>
          <w:szCs w:val="28"/>
        </w:rPr>
        <w:t xml:space="preserve">ФОРМА</w:t>
      </w:r>
      <w:r>
        <w:rPr>
          <w:b/>
          <w:bCs/>
          <w:spacing w:val="40"/>
          <w:sz w:val="28"/>
          <w:szCs w:val="28"/>
          <w:highlight w:val="none"/>
        </w:rPr>
      </w:r>
      <w:r>
        <w:rPr>
          <w:b/>
          <w:bCs/>
          <w:spacing w:val="4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jc w:val="center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</w:t>
      </w:r>
      <w:r>
        <w:rPr>
          <w:b/>
          <w:sz w:val="28"/>
          <w:szCs w:val="28"/>
        </w:rPr>
        <w:t xml:space="preserve">ая</w:t>
      </w:r>
      <w:r>
        <w:rPr>
          <w:b/>
          <w:sz w:val="28"/>
          <w:szCs w:val="28"/>
        </w:rPr>
        <w:t xml:space="preserve"> в качестве обеспечения</w:t>
      </w:r>
      <w:r>
        <w:rPr>
          <w:b/>
          <w:sz w:val="28"/>
          <w:szCs w:val="28"/>
        </w:rPr>
        <w:t xml:space="preserve"> исполнения договора, </w:t>
      </w:r>
      <w:r>
        <w:rPr>
          <w:b/>
          <w:sz w:val="28"/>
          <w:szCs w:val="28"/>
        </w:rPr>
        <w:t xml:space="preserve">заключаемого при осуществлении конкурентной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закупки товаров, работ,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услуг в электронной форме, участниками которой</w:t>
      </w:r>
      <w:r>
        <w:rPr>
          <w:b/>
          <w:sz w:val="28"/>
          <w:szCs w:val="28"/>
        </w:rPr>
        <w:t xml:space="preserve"> могут быть только </w:t>
      </w: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4960" w:type="dxa"/>
        <w:jc w:val="right"/>
        <w:tblInd w:w="28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jc w:val="right"/>
          <w:trHeight w:val="340"/>
        </w:trPr>
        <w:tc>
          <w:tcPr>
            <w:shd w:val="clear" w:color="auto" w:fill="auto"/>
            <w:tcBorders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Дата выдачи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jc w:val="right"/>
          <w:trHeight w:val="340"/>
        </w:trPr>
        <w:tc>
          <w:tcPr>
            <w:shd w:val="clear" w:color="auto" w:fill="auto"/>
            <w:tcBorders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Номер независимой гарантии</w:t>
            </w:r>
            <w:r>
              <w:rPr>
                <w:rStyle w:val="864"/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center"/>
        <w:rPr>
          <w:sz w:val="24"/>
        </w:rPr>
      </w:pPr>
      <w:r>
        <w:rPr>
          <w:sz w:val="24"/>
        </w:rPr>
        <w:t xml:space="preserve">Информация о гаранте, принципале, бенефициаре</w:t>
      </w:r>
      <w:r>
        <w:rPr>
          <w:sz w:val="24"/>
        </w:rPr>
      </w:r>
      <w:r>
        <w:rPr>
          <w:sz w:val="24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Коды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Полное наименование гаранта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ИНН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КПП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БИК</w:t>
            </w:r>
            <w:r>
              <w:rPr>
                <w:sz w:val="24"/>
                <w:vertAlign w:val="superscript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Идентификационный код гаранта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Место нахождения, телефон, адрес электронной почты гаранта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  <w:vertAlign w:val="superscript"/>
                <w:lang w:val="en-US"/>
              </w:rPr>
            </w:pPr>
            <w:r>
              <w:rPr>
                <w:sz w:val="24"/>
              </w:rPr>
              <w:t xml:space="preserve">по ОКТМО</w:t>
            </w:r>
            <w:r>
              <w:rPr>
                <w:sz w:val="24"/>
                <w:vertAlign w:val="superscript"/>
                <w:lang w:val="en-US"/>
              </w:rPr>
              <w:t xml:space="preserve">1</w:t>
            </w:r>
            <w:r>
              <w:rPr>
                <w:sz w:val="24"/>
                <w:vertAlign w:val="superscript"/>
                <w:lang w:val="en-US"/>
              </w:rPr>
            </w:r>
            <w:r>
              <w:rPr>
                <w:sz w:val="24"/>
                <w:vertAlign w:val="superscript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Полное наименование</w:t>
            </w:r>
            <w:r>
              <w:rPr>
                <w:sz w:val="24"/>
              </w:rPr>
              <w:br/>
              <w:t xml:space="preserve">принципала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ИНН</w:t>
            </w:r>
            <w:r>
              <w:rPr>
                <w:rStyle w:val="864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КПП</w:t>
            </w:r>
            <w:r>
              <w:rPr>
                <w:rStyle w:val="864"/>
                <w:sz w:val="24"/>
              </w:rPr>
              <w:t xml:space="preserve">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Место нахождения, телефон, адрес электронной почты принципала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по ОКТМО</w:t>
            </w:r>
            <w:r>
              <w:rPr>
                <w:sz w:val="24"/>
                <w:vertAlign w:val="superscript"/>
                <w:lang w:val="en-US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Полное наименование</w:t>
            </w:r>
            <w:r>
              <w:rPr>
                <w:sz w:val="24"/>
              </w:rPr>
              <w:br/>
              <w:t xml:space="preserve">бенефициара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ИНН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КПП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Место нахождения, телефон, адрес электронной почты бенефициара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по ОКТМО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center"/>
        <w:spacing w:line="240" w:lineRule="auto"/>
        <w:rPr>
          <w:sz w:val="24"/>
        </w:rPr>
      </w:pPr>
      <w:r>
        <w:rPr>
          <w:sz w:val="24"/>
        </w:rPr>
        <w:t xml:space="preserve">Информация о закупке, для обеспечения договора, заключаемого</w:t>
      </w:r>
      <w:r>
        <w:rPr>
          <w:sz w:val="24"/>
        </w:rPr>
      </w:r>
      <w:r>
        <w:rPr>
          <w:sz w:val="24"/>
        </w:rPr>
      </w:r>
    </w:p>
    <w:p>
      <w:pPr>
        <w:jc w:val="center"/>
        <w:spacing w:line="240" w:lineRule="auto"/>
        <w:rPr>
          <w:sz w:val="24"/>
        </w:rPr>
      </w:pPr>
      <w:r>
        <w:rPr>
          <w:sz w:val="24"/>
        </w:rPr>
        <w:t xml:space="preserve">при осуществлении которой, предоставляется независимая гарантия</w:t>
      </w:r>
      <w:r>
        <w:rPr>
          <w:sz w:val="24"/>
        </w:rPr>
      </w:r>
      <w:r>
        <w:rPr>
          <w:sz w:val="24"/>
        </w:rPr>
      </w:r>
    </w:p>
    <w:tbl>
      <w:tblPr>
        <w:tblW w:w="9767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334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Номер извещения об осуществлении конкурентной закупки</w:t>
            </w:r>
            <w:r>
              <w:rPr>
                <w:sz w:val="24"/>
                <w:vertAlign w:val="superscript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233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767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334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Предмет договора</w:t>
            </w:r>
            <w:r>
              <w:rPr>
                <w:rStyle w:val="864"/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233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center"/>
        <w:rPr>
          <w:sz w:val="24"/>
        </w:rPr>
      </w:pPr>
      <w:r>
        <w:rPr>
          <w:sz w:val="24"/>
        </w:rPr>
        <w:t xml:space="preserve">Условия независимой гарантии</w:t>
      </w:r>
      <w:r>
        <w:rPr>
          <w:sz w:val="24"/>
        </w:rPr>
      </w:r>
      <w:r>
        <w:rPr>
          <w:sz w:val="24"/>
        </w:rPr>
      </w:r>
    </w:p>
    <w:tbl>
      <w:tblPr>
        <w:tblW w:w="9767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134"/>
      </w:tblGrid>
      <w:tr>
        <w:tblPrEx/>
        <w:trPr>
          <w:trHeight w:val="641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независимой гарантии, подлежащая уплате гарантом бенефициару (далее — сумма независимой гарантии)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Наименование валюты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по ОКВ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Срок вступления независимой гарантии в силу</w:t>
            </w:r>
            <w:r>
              <w:rPr>
                <w:rStyle w:val="864"/>
                <w:sz w:val="24"/>
              </w:rPr>
              <w:t xml:space="preserve">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Срок действия независимой гарантии</w:t>
            </w:r>
            <w:r>
              <w:rPr>
                <w:sz w:val="24"/>
                <w:vertAlign w:val="superscript"/>
              </w:rPr>
              <w:t xml:space="preserve">5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both"/>
        <w:rPr>
          <w:sz w:val="24"/>
        </w:rPr>
      </w:pPr>
      <w:r>
        <w:rPr>
          <w:sz w:val="24"/>
        </w:rPr>
        <w:t xml:space="preserve">1. Настоящая независимая гарантия обеспечивает исполнение принципалом его обязательств, предусмотренных договором, </w:t>
      </w:r>
      <w:r>
        <w:rPr>
          <w:sz w:val="24"/>
        </w:rPr>
        <w:t xml:space="preserve">заключенным</w:t>
      </w:r>
      <w:r>
        <w:rPr>
          <w:sz w:val="24"/>
        </w:rPr>
        <w:t xml:space="preserve">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2. Настоящая независимая гарантия не может быть отозвана гарантом.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3. Бенефициар в случае неисполнения или ненадлежащего исполнения принципалом обязательств, обеспеченных настоящей независимой гарантией, вправе до окончания </w:t>
      </w:r>
      <w:r>
        <w:rPr>
          <w:sz w:val="24"/>
        </w:rPr>
        <w:t xml:space="preserve">ее</w:t>
      </w:r>
      <w:r>
        <w:rPr>
          <w:sz w:val="24"/>
        </w:rPr>
        <w:t xml:space="preserve"> срока действия предъявить требование об уплате денежной суммы по независимой гарантии (далее — требование) в размере цены договора, уменьшенном на сумму, пропорциональную </w:t>
      </w:r>
      <w:r>
        <w:rPr>
          <w:sz w:val="24"/>
        </w:rPr>
        <w:t xml:space="preserve">объему</w:t>
      </w:r>
      <w:r>
        <w:rPr>
          <w:sz w:val="24"/>
        </w:rPr>
        <w:t xml:space="preserve"> исполненных принципалом обязательств, предусмотренных договором, в отношении которых бенефициаром осуществлена </w:t>
      </w:r>
      <w:r>
        <w:rPr>
          <w:sz w:val="24"/>
        </w:rPr>
        <w:t xml:space="preserve">приемка</w:t>
      </w:r>
      <w:r>
        <w:rPr>
          <w:sz w:val="24"/>
        </w:rPr>
        <w:t xml:space="preserve">, но не превышающем размер обеспечения исполнения договора и сумму независимой гарантии.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sz w:val="24"/>
        </w:rPr>
        <w:br/>
      </w:r>
      <w:r>
        <w:rPr>
          <w:sz w:val="24"/>
        </w:rPr>
      </w:r>
      <w:r>
        <w:rPr>
          <w:sz w:val="24"/>
        </w:rPr>
      </w:r>
    </w:p>
    <w:tbl>
      <w:tblPr>
        <w:tblW w:w="1005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5949"/>
        <w:gridCol w:w="2217"/>
        <w:gridCol w:w="709"/>
      </w:tblGrid>
      <w:tr>
        <w:tblPrEx/>
        <w:trPr>
          <w:trHeight w:val="156"/>
        </w:trPr>
        <w:tc>
          <w:tcPr>
            <w:shd w:val="clear" w:color="auto" w:fill="auto"/>
            <w:tcW w:w="1176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по адресу: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816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709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</w:rPr>
            </w:pPr>
            <w:r>
              <w:rPr>
                <w:rStyle w:val="864"/>
                <w:sz w:val="24"/>
              </w:rPr>
              <w:t xml:space="preserve">6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56"/>
        </w:trPr>
        <w:tc>
          <w:tcPr>
            <w:gridSpan w:val="2"/>
            <w:shd w:val="clear" w:color="auto" w:fill="auto"/>
            <w:tcW w:w="7125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6. 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1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709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4"/>
              </w:rPr>
            </w:pPr>
            <w:r>
              <w:rPr>
                <w:rStyle w:val="864"/>
                <w:sz w:val="24"/>
              </w:rPr>
              <w:t xml:space="preserve">7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both"/>
        <w:rPr>
          <w:sz w:val="24"/>
        </w:rPr>
      </w:pPr>
      <w:r>
        <w:rPr>
          <w:sz w:val="24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а) </w:t>
      </w:r>
      <w:r>
        <w:rPr>
          <w:sz w:val="24"/>
        </w:rPr>
        <w:t xml:space="preserve">расчет</w:t>
      </w:r>
      <w:r>
        <w:rPr>
          <w:sz w:val="24"/>
        </w:rPr>
        <w:t xml:space="preserve"> суммы, включаемой в требование по настоящей независимой гарантии;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4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8. 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</w:t>
      </w:r>
      <w:r>
        <w:rPr>
          <w:sz w:val="24"/>
        </w:rPr>
        <w:t xml:space="preserve">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4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4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9. Гарант обязан рассмотреть требование не позднее 5 рабочих дней со дня, следующего за </w:t>
      </w:r>
      <w:r>
        <w:rPr>
          <w:sz w:val="24"/>
        </w:rPr>
        <w:t xml:space="preserve">днем</w:t>
      </w:r>
      <w:r>
        <w:rPr>
          <w:sz w:val="24"/>
        </w:rPr>
        <w:t xml:space="preserve"> получения указанного требования и документов, предусмотренных пунктом 7 настоящей независимой гарантии.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со дня, следующего за </w:t>
      </w:r>
      <w:r>
        <w:rPr>
          <w:sz w:val="24"/>
        </w:rPr>
        <w:t xml:space="preserve">днем</w:t>
      </w:r>
      <w:r>
        <w:rPr>
          <w:sz w:val="24"/>
        </w:rPr>
        <w:t xml:space="preserve">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11. 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</w:t>
      </w:r>
      <w:r>
        <w:rPr>
          <w:sz w:val="24"/>
        </w:rPr>
        <w:t xml:space="preserve">счет</w:t>
      </w:r>
      <w:r>
        <w:rPr>
          <w:sz w:val="24"/>
        </w:rPr>
        <w:t xml:space="preserve">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12. Гарант в случае просрочки исполнения обязательств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</w:t>
      </w:r>
      <w:r>
        <w:rPr>
          <w:sz w:val="24"/>
        </w:rPr>
        <w:t xml:space="preserve">ее</w:t>
      </w:r>
      <w:r>
        <w:rPr>
          <w:sz w:val="24"/>
        </w:rPr>
        <w:t xml:space="preserve"> действия, обязан за каждый день просрочки (начиная со дня, следующего за </w:t>
      </w:r>
      <w:r>
        <w:rPr>
          <w:sz w:val="24"/>
        </w:rPr>
        <w:t xml:space="preserve">днем</w:t>
      </w:r>
      <w:r>
        <w:rPr>
          <w:sz w:val="24"/>
        </w:rPr>
        <w:t xml:space="preserve"> истечени</w:t>
      </w:r>
      <w:r>
        <w:rPr>
          <w:sz w:val="24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</w:t>
      </w:r>
      <w:r>
        <w:rPr>
          <w:sz w:val="24"/>
        </w:rPr>
        <w:t xml:space="preserve">несет</w:t>
      </w:r>
      <w:r>
        <w:rPr>
          <w:sz w:val="24"/>
        </w:rPr>
        <w:t xml:space="preserve"> гарант.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14. Исключение банка (если настоящая независимая гарантия выдана банк</w:t>
      </w:r>
      <w:r>
        <w:rPr>
          <w:sz w:val="24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sz w:val="24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sz w:val="24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</w:pPr>
      <w:r>
        <w:rPr>
          <w:sz w:val="24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sz w:val="24"/>
        </w:rPr>
        <w:br/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16. Настоящая независимая гарантия выдана в пользу бенефициара, и права требования по ней не могут быть переданы третьему лицу без согласия гаранта, за исключением случая перемены </w:t>
      </w:r>
      <w:r>
        <w:rPr>
          <w:sz w:val="24"/>
        </w:rPr>
        <w:t xml:space="preserve">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</w:pPr>
      <w:r>
        <w:rPr>
          <w:sz w:val="24"/>
        </w:rPr>
        <w:t xml:space="preserve">17. Дополнительные условия</w:t>
      </w:r>
      <w:r>
        <w:rPr>
          <w:sz w:val="24"/>
          <w:vertAlign w:val="superscript"/>
        </w:rPr>
        <w:t xml:space="preserve">1, </w:t>
      </w:r>
      <w:r>
        <w:rPr>
          <w:rStyle w:val="864"/>
          <w:sz w:val="24"/>
        </w:rPr>
        <w:t xml:space="preserve">8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rPr>
          <w:sz w:val="24"/>
          <w:lang w:val="en-US"/>
        </w:rPr>
      </w:pPr>
      <w:r>
        <w:rPr>
          <w:sz w:val="24"/>
        </w:rPr>
        <w:t xml:space="preserve">Уполномоченное</w:t>
      </w:r>
      <w:r>
        <w:rPr>
          <w:sz w:val="24"/>
          <w:lang w:val="en-US"/>
        </w:rPr>
      </w:r>
      <w:r>
        <w:rPr>
          <w:sz w:val="24"/>
          <w:lang w:val="en-US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лицо гаранта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523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560"/>
        <w:gridCol w:w="375"/>
        <w:gridCol w:w="364"/>
        <w:gridCol w:w="406"/>
        <w:gridCol w:w="294"/>
        <w:gridCol w:w="262"/>
        <w:gridCol w:w="1133"/>
      </w:tblGrid>
      <w:tr>
        <w:tblPrEx/>
        <w:trPr>
          <w:gridAfter w:val="2"/>
          <w:trHeight w:val="240"/>
        </w:trPr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«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20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t xml:space="preserve">г.</w:t>
            </w:r>
            <w:r/>
          </w:p>
        </w:tc>
      </w:tr>
      <w:tr>
        <w:tblPrEx/>
        <w:trPr>
          <w:gridAfter w:val="2"/>
          <w:trHeight w:val="240"/>
        </w:trPr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364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0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94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>
          <w:gridBefore w:val="4"/>
          <w:jc w:val="right"/>
          <w:trHeight w:val="283"/>
        </w:trPr>
        <w:tc>
          <w:tcPr>
            <w:gridSpan w:val="5"/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Before w:val="4"/>
          <w:jc w:val="right"/>
          <w:trHeight w:val="283"/>
        </w:trPr>
        <w:tc>
          <w:tcPr>
            <w:gridSpan w:val="5"/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62"/>
        <w:jc w:val="both"/>
        <w:rPr>
          <w:sz w:val="16"/>
          <w:szCs w:val="16"/>
        </w:rPr>
      </w:pPr>
      <w:r>
        <w:rPr>
          <w:rStyle w:val="864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</w:t>
      </w:r>
      <w:r>
        <w:rPr>
          <w:sz w:val="16"/>
          <w:szCs w:val="16"/>
        </w:rPr>
        <w:t xml:space="preserve">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6"/>
        <w:jc w:val="center"/>
        <w:spacing w:before="0" w:after="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1905" w:h="16838" w:orient="portrait"/>
      <w:pgMar w:top="851" w:right="851" w:bottom="851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egoe UI">
    <w:panose1 w:val="020B0503020204020204"/>
  </w:font>
  <w:font w:name="Courier New">
    <w:panose1 w:val="020703090202050204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  <w:font w:name="TimesNewRomanPSMT">
    <w:panose1 w:val="020206030504050203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pStyle w:val="840"/>
      <w:isLgl w:val="false"/>
      <w:suff w:val="space"/>
      <w:lvlText w:val="%1."/>
      <w:lvlJc w:val="left"/>
      <w:pPr>
        <w:ind w:left="0" w:firstLine="510"/>
      </w:pPr>
      <w:rPr>
        <w:rFonts w:hint="default"/>
      </w:rPr>
    </w:lvl>
    <w:lvl w:ilvl="1">
      <w:start w:val="1"/>
      <w:numFmt w:val="decimal"/>
      <w:pStyle w:val="843"/>
      <w:isLgl w:val="false"/>
      <w:suff w:val="space"/>
      <w:lvlText w:val="%1.%2."/>
      <w:lvlJc w:val="left"/>
      <w:pPr>
        <w:ind w:left="0" w:firstLine="51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pStyle w:val="844"/>
      <w:isLgl w:val="false"/>
      <w:suff w:val="space"/>
      <w:lvlText w:val="%1.%2.%3."/>
      <w:lvlJc w:val="left"/>
      <w:pPr>
        <w:ind w:left="0" w:firstLine="51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</w:pPr>
      <w:rPr>
        <w:rFonts w:hint="default" w:ascii="Times New Roman" w:hAnsi="Times New Roman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NewRomanPSMT" w:eastAsiaTheme="minorHAnsi"/>
        <w:szCs w:val="24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6">
    <w:name w:val="Heading 1 Char"/>
    <w:basedOn w:val="837"/>
    <w:link w:val="836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835"/>
    <w:next w:val="835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basedOn w:val="837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835"/>
    <w:next w:val="835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basedOn w:val="837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35"/>
    <w:next w:val="835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basedOn w:val="837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35"/>
    <w:next w:val="835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basedOn w:val="837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835"/>
    <w:next w:val="835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basedOn w:val="837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835"/>
    <w:next w:val="835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basedOn w:val="837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835"/>
    <w:next w:val="835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basedOn w:val="837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835"/>
    <w:next w:val="835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basedOn w:val="837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35"/>
    <w:next w:val="835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37"/>
    <w:link w:val="684"/>
    <w:uiPriority w:val="10"/>
    <w:rPr>
      <w:sz w:val="48"/>
      <w:szCs w:val="48"/>
    </w:rPr>
  </w:style>
  <w:style w:type="paragraph" w:styleId="686">
    <w:name w:val="Subtitle"/>
    <w:basedOn w:val="835"/>
    <w:next w:val="835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37"/>
    <w:link w:val="686"/>
    <w:uiPriority w:val="11"/>
    <w:rPr>
      <w:sz w:val="24"/>
      <w:szCs w:val="24"/>
    </w:rPr>
  </w:style>
  <w:style w:type="paragraph" w:styleId="688">
    <w:name w:val="Quote"/>
    <w:basedOn w:val="835"/>
    <w:next w:val="835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35"/>
    <w:next w:val="835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character" w:styleId="692">
    <w:name w:val="Header Char"/>
    <w:basedOn w:val="837"/>
    <w:link w:val="848"/>
    <w:uiPriority w:val="99"/>
  </w:style>
  <w:style w:type="character" w:styleId="693">
    <w:name w:val="Footer Char"/>
    <w:basedOn w:val="837"/>
    <w:link w:val="850"/>
    <w:uiPriority w:val="99"/>
  </w:style>
  <w:style w:type="paragraph" w:styleId="694">
    <w:name w:val="Caption"/>
    <w:basedOn w:val="835"/>
    <w:next w:val="835"/>
    <w:link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850"/>
    <w:uiPriority w:val="99"/>
  </w:style>
  <w:style w:type="table" w:styleId="696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6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7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8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9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0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1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0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1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2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3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4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5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57"/>
    <w:uiPriority w:val="99"/>
    <w:rPr>
      <w:sz w:val="18"/>
    </w:rPr>
  </w:style>
  <w:style w:type="character" w:styleId="823">
    <w:name w:val="Endnote Text Char"/>
    <w:link w:val="862"/>
    <w:uiPriority w:val="99"/>
    <w:rPr>
      <w:sz w:val="20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</w:style>
  <w:style w:type="paragraph" w:styleId="836">
    <w:name w:val="Heading 1"/>
    <w:basedOn w:val="835"/>
    <w:next w:val="835"/>
    <w:link w:val="860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 w:customStyle="1">
    <w:name w:val="РАЗДЕЛ ДОГОВОРА"/>
    <w:basedOn w:val="835"/>
    <w:qFormat/>
    <w:pPr>
      <w:numPr>
        <w:ilvl w:val="0"/>
        <w:numId w:val="7"/>
      </w:numPr>
      <w:jc w:val="both"/>
      <w:spacing w:before="240" w:after="0" w:line="240" w:lineRule="auto"/>
      <w:shd w:val="clear" w:color="auto" w:fill="cccccc"/>
    </w:pPr>
    <w:rPr>
      <w:rFonts w:eastAsia="Times New Roman" w:cs="Times New Roman"/>
      <w:b/>
      <w:sz w:val="22"/>
      <w:szCs w:val="22"/>
      <w:lang w:eastAsia="ru-RU"/>
    </w:rPr>
  </w:style>
  <w:style w:type="paragraph" w:styleId="841" w:customStyle="1">
    <w:name w:val="ПУНКТ договора"/>
    <w:basedOn w:val="835"/>
    <w:qFormat/>
    <w:pPr>
      <w:jc w:val="both"/>
      <w:spacing w:after="0" w:line="240" w:lineRule="auto"/>
    </w:pPr>
    <w:rPr>
      <w:rFonts w:eastAsia="Times New Roman" w:cs="Times New Roman"/>
      <w:sz w:val="22"/>
      <w:szCs w:val="22"/>
      <w:lang w:eastAsia="ru-RU"/>
    </w:rPr>
  </w:style>
  <w:style w:type="paragraph" w:styleId="842" w:customStyle="1">
    <w:name w:val="ПОДПУНКТ договора"/>
    <w:basedOn w:val="835"/>
    <w:qFormat/>
    <w:pPr>
      <w:jc w:val="both"/>
      <w:spacing w:after="0" w:line="240" w:lineRule="auto"/>
    </w:pPr>
    <w:rPr>
      <w:rFonts w:eastAsia="Times New Roman" w:cs="Times New Roman"/>
      <w:sz w:val="22"/>
      <w:szCs w:val="22"/>
      <w:lang w:eastAsia="ru-RU"/>
    </w:rPr>
  </w:style>
  <w:style w:type="paragraph" w:styleId="843" w:customStyle="1">
    <w:name w:val="ПУНКТ ДОГОВОРА"/>
    <w:basedOn w:val="835"/>
    <w:qFormat/>
    <w:pPr>
      <w:numPr>
        <w:ilvl w:val="1"/>
        <w:numId w:val="7"/>
      </w:numPr>
      <w:jc w:val="both"/>
      <w:spacing w:after="0" w:line="240" w:lineRule="auto"/>
    </w:pPr>
    <w:rPr>
      <w:rFonts w:eastAsia="Times New Roman" w:cs="Times New Roman"/>
      <w:sz w:val="22"/>
      <w:szCs w:val="22"/>
      <w:lang w:eastAsia="ru-RU"/>
    </w:rPr>
  </w:style>
  <w:style w:type="paragraph" w:styleId="844" w:customStyle="1">
    <w:name w:val="ПОДПУНКТ ДОГОВОРА"/>
    <w:basedOn w:val="835"/>
    <w:qFormat/>
    <w:pPr>
      <w:numPr>
        <w:ilvl w:val="2"/>
        <w:numId w:val="7"/>
      </w:numPr>
      <w:jc w:val="both"/>
      <w:spacing w:after="0" w:line="240" w:lineRule="auto"/>
    </w:pPr>
    <w:rPr>
      <w:rFonts w:eastAsia="Times New Roman" w:cs="Times New Roman"/>
      <w:sz w:val="22"/>
      <w:szCs w:val="22"/>
      <w:lang w:eastAsia="ru-RU"/>
    </w:rPr>
  </w:style>
  <w:style w:type="character" w:styleId="845" w:customStyle="1">
    <w:name w:val="ca-01"/>
    <w:basedOn w:val="837"/>
    <w:rPr>
      <w:rFonts w:hint="default" w:ascii="Times New Roman" w:hAnsi="Times New Roman" w:cs="Times New Roman"/>
      <w:sz w:val="22"/>
      <w:szCs w:val="22"/>
    </w:rPr>
  </w:style>
  <w:style w:type="paragraph" w:styleId="846" w:customStyle="1">
    <w:name w:val="pa-7"/>
    <w:basedOn w:val="835"/>
    <w:pPr>
      <w:ind w:firstLine="560"/>
      <w:jc w:val="both"/>
      <w:spacing w:after="0" w:line="240" w:lineRule="atLeast"/>
    </w:pPr>
    <w:rPr>
      <w:rFonts w:ascii="Arial Unicode MS" w:hAnsi="Arial Unicode MS" w:eastAsia="Arial Unicode MS" w:cs="Arial Unicode MS"/>
      <w:sz w:val="24"/>
      <w:lang w:eastAsia="ru-RU"/>
    </w:rPr>
  </w:style>
  <w:style w:type="paragraph" w:styleId="847" w:customStyle="1">
    <w:name w:val="pa-5"/>
    <w:basedOn w:val="835"/>
    <w:pPr>
      <w:ind w:firstLine="540"/>
      <w:jc w:val="both"/>
      <w:spacing w:after="0" w:line="240" w:lineRule="atLeast"/>
    </w:pPr>
    <w:rPr>
      <w:rFonts w:ascii="Arial Unicode MS" w:hAnsi="Arial Unicode MS" w:eastAsia="Arial Unicode MS" w:cs="Arial Unicode MS"/>
      <w:sz w:val="24"/>
      <w:lang w:eastAsia="ru-RU"/>
    </w:rPr>
  </w:style>
  <w:style w:type="paragraph" w:styleId="848">
    <w:name w:val="Header"/>
    <w:basedOn w:val="835"/>
    <w:link w:val="84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Верхний колонтитул Знак"/>
    <w:basedOn w:val="837"/>
    <w:link w:val="848"/>
    <w:uiPriority w:val="99"/>
  </w:style>
  <w:style w:type="paragraph" w:styleId="850">
    <w:name w:val="Footer"/>
    <w:basedOn w:val="835"/>
    <w:link w:val="8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Нижний колонтитул Знак"/>
    <w:basedOn w:val="837"/>
    <w:link w:val="850"/>
    <w:uiPriority w:val="99"/>
  </w:style>
  <w:style w:type="paragraph" w:styleId="852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Cs w:val="20"/>
      <w:lang w:eastAsia="ru-RU"/>
    </w:rPr>
  </w:style>
  <w:style w:type="character" w:styleId="853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54">
    <w:name w:val="Balloon Text"/>
    <w:basedOn w:val="835"/>
    <w:link w:val="85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837"/>
    <w:link w:val="854"/>
    <w:uiPriority w:val="99"/>
    <w:semiHidden/>
    <w:rPr>
      <w:rFonts w:ascii="Segoe UI" w:hAnsi="Segoe UI" w:cs="Segoe UI"/>
      <w:sz w:val="18"/>
      <w:szCs w:val="18"/>
    </w:rPr>
  </w:style>
  <w:style w:type="paragraph" w:styleId="856">
    <w:name w:val="Revision"/>
    <w:hidden/>
    <w:uiPriority w:val="99"/>
    <w:semiHidden/>
    <w:pPr>
      <w:spacing w:after="0" w:line="240" w:lineRule="auto"/>
    </w:pPr>
  </w:style>
  <w:style w:type="paragraph" w:styleId="857">
    <w:name w:val="footnote text"/>
    <w:basedOn w:val="835"/>
    <w:link w:val="858"/>
    <w:uiPriority w:val="99"/>
    <w:unhideWhenUsed/>
    <w:pPr>
      <w:spacing w:after="0" w:line="240" w:lineRule="auto"/>
    </w:pPr>
    <w:rPr>
      <w:szCs w:val="20"/>
    </w:rPr>
  </w:style>
  <w:style w:type="character" w:styleId="858" w:customStyle="1">
    <w:name w:val="Текст сноски Знак"/>
    <w:basedOn w:val="837"/>
    <w:link w:val="857"/>
    <w:uiPriority w:val="99"/>
    <w:rPr>
      <w:szCs w:val="20"/>
    </w:rPr>
  </w:style>
  <w:style w:type="character" w:styleId="859">
    <w:name w:val="footnote reference"/>
    <w:basedOn w:val="837"/>
    <w:unhideWhenUsed/>
    <w:rPr>
      <w:vertAlign w:val="superscript"/>
    </w:rPr>
  </w:style>
  <w:style w:type="character" w:styleId="860" w:customStyle="1">
    <w:name w:val="Заголовок 1 Знак"/>
    <w:basedOn w:val="837"/>
    <w:link w:val="836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861">
    <w:name w:val="List Paragraph"/>
    <w:basedOn w:val="835"/>
    <w:uiPriority w:val="34"/>
    <w:qFormat/>
    <w:pPr>
      <w:contextualSpacing/>
      <w:ind w:left="720"/>
    </w:pPr>
  </w:style>
  <w:style w:type="paragraph" w:styleId="862">
    <w:name w:val="endnote text"/>
    <w:basedOn w:val="835"/>
    <w:link w:val="863"/>
    <w:uiPriority w:val="9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styleId="863" w:customStyle="1">
    <w:name w:val="Текст концевой сноски Знак"/>
    <w:basedOn w:val="837"/>
    <w:link w:val="862"/>
    <w:uiPriority w:val="99"/>
    <w:rPr>
      <w:rFonts w:eastAsia="Times New Roman" w:cs="Times New Roman"/>
      <w:szCs w:val="20"/>
      <w:lang w:eastAsia="ru-RU"/>
    </w:rPr>
  </w:style>
  <w:style w:type="character" w:styleId="864">
    <w:name w:val="endnote reference"/>
    <w:uiPriority w:val="99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PSB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Голдин Д.  ЮД  ПСБ</dc:creator>
  <cp:lastModifiedBy>gonchar_ys</cp:lastModifiedBy>
  <cp:revision>33</cp:revision>
  <dcterms:created xsi:type="dcterms:W3CDTF">2023-03-13T04:23:00Z</dcterms:created>
  <dcterms:modified xsi:type="dcterms:W3CDTF">2025-12-22T00:17:57Z</dcterms:modified>
</cp:coreProperties>
</file>